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auto"/>
          <w:sz w:val="44"/>
          <w:szCs w:val="20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44"/>
        </w:rPr>
        <w:t>江西农业大学</w:t>
      </w:r>
      <w:r>
        <w:rPr>
          <w:rFonts w:hint="eastAsia" w:ascii="宋体" w:hAnsi="宋体"/>
          <w:b/>
          <w:bCs/>
          <w:color w:val="auto"/>
          <w:sz w:val="44"/>
          <w:lang w:val="en-US" w:eastAsia="zh-CN"/>
        </w:rPr>
        <w:t>2020级非全日制</w:t>
      </w:r>
      <w:r>
        <w:rPr>
          <w:rFonts w:hint="eastAsia" w:ascii="宋体" w:hAnsi="宋体"/>
          <w:b/>
          <w:bCs/>
          <w:color w:val="auto"/>
          <w:sz w:val="44"/>
          <w:lang w:eastAsia="zh-CN"/>
        </w:rPr>
        <w:t>硕士</w:t>
      </w:r>
      <w:r>
        <w:rPr>
          <w:rFonts w:hint="eastAsia" w:ascii="宋体" w:hAnsi="宋体"/>
          <w:b/>
          <w:bCs/>
          <w:color w:val="auto"/>
          <w:sz w:val="44"/>
        </w:rPr>
        <w:t>研究生</w:t>
      </w:r>
      <w:r>
        <w:rPr>
          <w:rFonts w:hint="eastAsia" w:ascii="宋体" w:hAnsi="宋体"/>
          <w:b/>
          <w:bCs/>
          <w:color w:val="auto"/>
          <w:sz w:val="44"/>
          <w:lang w:val="en-US" w:eastAsia="zh-CN"/>
        </w:rPr>
        <w:t>2020-2021-1学期</w:t>
      </w:r>
      <w:r>
        <w:rPr>
          <w:rFonts w:hint="eastAsia" w:ascii="宋体" w:hAnsi="宋体"/>
          <w:b/>
          <w:bCs/>
          <w:color w:val="auto"/>
          <w:sz w:val="44"/>
        </w:rPr>
        <w:t>课表</w:t>
      </w:r>
      <w:bookmarkEnd w:id="0"/>
    </w:p>
    <w:tbl>
      <w:tblPr>
        <w:tblStyle w:val="2"/>
        <w:tblW w:w="20951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315"/>
        <w:gridCol w:w="735"/>
        <w:gridCol w:w="2010"/>
        <w:gridCol w:w="2115"/>
        <w:gridCol w:w="2520"/>
        <w:gridCol w:w="1995"/>
        <w:gridCol w:w="2355"/>
        <w:gridCol w:w="2355"/>
        <w:gridCol w:w="2535"/>
        <w:gridCol w:w="420"/>
        <w:gridCol w:w="2625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trHeight w:val="340" w:hRule="atLeast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星期日（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10月11日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星期一（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10月12日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星期二（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10月13日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星期三（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10月14日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星期四（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10月15日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星期五（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10月16日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659" w:hRule="atLeast"/>
        </w:trPr>
        <w:tc>
          <w:tcPr>
            <w:tcW w:w="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</w:rPr>
              <w:t>上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</w:rPr>
              <w:t>午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1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2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节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课程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论文设计与研究方法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周次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3-7,9-15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彭齐东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教室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3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Cs w:val="20"/>
              </w:rPr>
            </w:pPr>
            <w:r>
              <w:rPr>
                <w:rFonts w:ascii="宋体" w:hAnsi="宋体"/>
                <w:b/>
                <w:bCs/>
                <w:color w:val="auto"/>
              </w:rPr>
              <w:t>4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节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课程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论文设计与研究方法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周次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3-7,9-15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教师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彭齐东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教室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</w:rPr>
              <w:t>下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color w:val="auto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Cs w:val="20"/>
              </w:rPr>
              <w:t>午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5</w:t>
            </w:r>
            <w:r>
              <w:rPr>
                <w:rFonts w:ascii="宋体" w:hAnsi="宋体"/>
                <w:b/>
                <w:bCs/>
                <w:color w:val="auto"/>
              </w:rPr>
              <w:t>6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节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课程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论文设计与研究方法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周次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教师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陈美球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教室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78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节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课程</w:t>
            </w:r>
          </w:p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论文设计与研究方法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现代农业创新与乡村振兴战略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 xml:space="preserve"> </w:t>
            </w: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周次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陈美球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郭如良 刘小春 曹大宇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教室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0"/>
                <w:lang w:eastAsia="zh-CN"/>
              </w:rPr>
              <w:t>晚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0"/>
                <w:lang w:eastAsia="zh-CN"/>
              </w:rPr>
              <w:t>上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0"/>
                <w:lang w:val="en-US" w:eastAsia="zh-CN"/>
              </w:rPr>
              <w:t>789</w:t>
            </w: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英语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自然辩证法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考试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考试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周次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教师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胡迎燕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eastAsia="zh-CN"/>
              </w:rPr>
              <w:t>潘锡杨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10" w:type="dxa"/>
          <w:cantSplit/>
          <w:trHeight w:val="340" w:hRule="atLeast"/>
        </w:trPr>
        <w:tc>
          <w:tcPr>
            <w:tcW w:w="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教室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0"/>
                <w:lang w:val="en-US" w:eastAsia="zh-CN"/>
              </w:rPr>
              <w:t>2-317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A1851"/>
    <w:rsid w:val="302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2020-09-23T06:28:00Z</dcterms:created>
  <dc:creator>Administrator</dc:creator>
  <cp:lastModifiedBy>Administrator</cp:lastModifiedBy>
  <dcterms:modified xsi:type="dcterms:W3CDTF">2020-09-23T07:22:59Z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