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523"/>
        <w:tblOverlap w:val="never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45"/>
        <w:gridCol w:w="1935"/>
        <w:gridCol w:w="1800"/>
        <w:gridCol w:w="1620"/>
        <w:gridCol w:w="2156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1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级指标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级指标</w:t>
            </w:r>
          </w:p>
        </w:tc>
        <w:tc>
          <w:tcPr>
            <w:tcW w:w="7511" w:type="dxa"/>
            <w:gridSpan w:val="4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评分参考标准及分值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优秀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良好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合格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不合格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选题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和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综述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10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理论意义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选题与论坛主题有关且有重大的理论意义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4-5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选题与论坛主题且有较大的理论意义</w:t>
            </w:r>
          </w:p>
          <w:p>
            <w:pPr>
              <w:spacing w:line="280" w:lineRule="exact"/>
              <w:ind w:firstLine="315" w:firstLineChars="1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3-4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选题与论坛主题有关且有一定的理论意义</w:t>
            </w:r>
          </w:p>
          <w:p>
            <w:pPr>
              <w:spacing w:line="280" w:lineRule="exact"/>
              <w:ind w:firstLine="315" w:firstLineChars="1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选题与论坛主题无关，没有理论意义</w:t>
            </w:r>
          </w:p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</w:p>
          <w:p>
            <w:pPr>
              <w:spacing w:line="280" w:lineRule="exact"/>
              <w:ind w:firstLine="315" w:firstLineChars="15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本领域学术动态、主攻方向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全面了解本领域学术动态，主攻方向非常明确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较好了解本领域学术动态，主攻方向较明确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一般了解本领域学术动态，主攻方向基本明确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不了解本领域学术动态、主攻方向不明确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论文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水平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Cs w:val="21"/>
              </w:rPr>
              <w:t>(80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)</w:t>
            </w: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理论基础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理论上有重大创造性、提出了新命题、新见解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理论上有较大创造性、提出了新命题、新见解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理论上有一定创造性、提出了新命题、新见解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理论上没有创造性、没有提出新命题、新见解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应用价值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实际应用中具有原始创新性成果及效益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实际应用中具有较大创新性成果及效益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实际应用中有一定的创新性成果及效益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实际应用中没有创新性成果及效益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研究能力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具有很强的独立从事科学研究的能力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具有较强的独立从事科学研究的能力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具有一定的独立从事科学研究的能力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没有独立从事科学研究的能力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工作的先进性和实用性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结论或结果分析有新思想、新方法、新进展，具有先进性和实用性。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18-20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结论或结果分析有一些新思想、新方法、新进展，有一定的先进性和实用性。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13-17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结论和结果分析在先进性和实用性上一般。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szCs w:val="21"/>
              </w:rPr>
              <w:t>结论和结果分析没有先进性和实用性。</w:t>
            </w:r>
          </w:p>
          <w:p>
            <w:pPr>
              <w:spacing w:line="280" w:lineRule="exact"/>
              <w:ind w:firstLine="315" w:firstLineChars="150"/>
              <w:rPr>
                <w:rFonts w:hint="eastAsia" w:eastAsia="仿宋_GB2312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12</w:t>
            </w:r>
            <w:r>
              <w:rPr>
                <w:rFonts w:hint="eastAsia" w:hAnsi="宋体" w:eastAsia="仿宋_GB2312"/>
                <w:color w:val="000000"/>
                <w:szCs w:val="21"/>
              </w:rPr>
              <w:t>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eastAsia="仿宋_GB2312"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72" w:type="dxa"/>
            <w:vMerge w:val="restart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写作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水平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>10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分）</w:t>
            </w: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论文格式</w:t>
            </w:r>
          </w:p>
          <w:p>
            <w:pPr>
              <w:topLinePunct/>
              <w:adjustRightInd w:val="0"/>
              <w:spacing w:line="280" w:lineRule="exact"/>
              <w:ind w:right="-108" w:firstLine="105" w:firstLineChars="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科技写作规范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科技写作较规范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有一定写作规范</w:t>
            </w:r>
          </w:p>
          <w:p>
            <w:pPr>
              <w:topLinePunct/>
              <w:adjustRightInd w:val="0"/>
              <w:spacing w:line="280" w:lineRule="exact"/>
              <w:ind w:right="-108"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科技写作不规范</w:t>
            </w:r>
          </w:p>
          <w:p>
            <w:pPr>
              <w:topLinePunct/>
              <w:adjustRightInd w:val="0"/>
              <w:spacing w:line="280" w:lineRule="exact"/>
              <w:ind w:right="-108"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72" w:type="dxa"/>
            <w:vMerge w:val="continue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表达的清晰性</w:t>
            </w:r>
          </w:p>
          <w:p>
            <w:pPr>
              <w:topLinePunct/>
              <w:adjustRightInd w:val="0"/>
              <w:spacing w:line="280" w:lineRule="exact"/>
              <w:ind w:right="-108"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935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文笔流畅，条理清晰，逻辑性强。</w:t>
            </w:r>
          </w:p>
          <w:p>
            <w:pPr>
              <w:spacing w:line="28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5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文笔较好，条理和逻辑性较强。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4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文笔、条理和逻辑性一般。</w:t>
            </w:r>
          </w:p>
          <w:p>
            <w:pPr>
              <w:spacing w:line="280" w:lineRule="exact"/>
              <w:ind w:firstLine="210" w:firstLineChars="1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分）</w:t>
            </w:r>
          </w:p>
        </w:tc>
        <w:tc>
          <w:tcPr>
            <w:tcW w:w="2156" w:type="dxa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文笔、条理和逻辑都差。</w:t>
            </w:r>
          </w:p>
          <w:p>
            <w:pPr>
              <w:spacing w:line="28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hAnsi="宋体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</w:rPr>
              <w:t>3</w:t>
            </w:r>
            <w:r>
              <w:rPr>
                <w:rFonts w:hint="eastAsia" w:hAnsi="宋体" w:eastAsia="仿宋_GB2312"/>
                <w:color w:val="000000"/>
                <w:szCs w:val="21"/>
              </w:rPr>
              <w:t>分以下）</w:t>
            </w:r>
          </w:p>
        </w:tc>
        <w:tc>
          <w:tcPr>
            <w:tcW w:w="540" w:type="dxa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72" w:type="dxa"/>
            <w:vAlign w:val="center"/>
          </w:tcPr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评</w:t>
            </w:r>
            <w:r>
              <w:rPr>
                <w:rFonts w:hint="eastAsia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hAnsi="宋体" w:eastAsia="仿宋_GB2312"/>
                <w:b/>
                <w:color w:val="000000"/>
                <w:szCs w:val="21"/>
              </w:rPr>
              <w:t>分</w:t>
            </w:r>
          </w:p>
          <w:p>
            <w:pPr>
              <w:topLinePunct/>
              <w:adjustRightInd w:val="0"/>
              <w:spacing w:line="240" w:lineRule="exact"/>
              <w:ind w:right="-108"/>
              <w:jc w:val="center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hAnsi="宋体" w:eastAsia="仿宋_GB2312"/>
                <w:b/>
                <w:color w:val="000000"/>
                <w:szCs w:val="21"/>
              </w:rPr>
              <w:t>结  果</w:t>
            </w:r>
          </w:p>
        </w:tc>
        <w:tc>
          <w:tcPr>
            <w:tcW w:w="4980" w:type="dxa"/>
            <w:gridSpan w:val="3"/>
            <w:vAlign w:val="center"/>
          </w:tcPr>
          <w:p>
            <w:pPr>
              <w:topLinePunct/>
              <w:adjustRightInd w:val="0"/>
              <w:spacing w:line="280" w:lineRule="exact"/>
              <w:ind w:right="-108"/>
              <w:jc w:val="center"/>
              <w:rPr>
                <w:rFonts w:hint="eastAsia" w:eastAsia="仿宋_GB2312"/>
                <w:color w:val="000000"/>
                <w:szCs w:val="21"/>
              </w:rPr>
            </w:pPr>
          </w:p>
        </w:tc>
        <w:tc>
          <w:tcPr>
            <w:tcW w:w="4316" w:type="dxa"/>
            <w:gridSpan w:val="3"/>
            <w:vAlign w:val="center"/>
          </w:tcPr>
          <w:p>
            <w:pPr>
              <w:topLinePunct/>
              <w:adjustRightInd w:val="0"/>
              <w:spacing w:line="280" w:lineRule="exact"/>
              <w:ind w:right="-108" w:firstLine="281" w:firstLineChars="100"/>
              <w:rPr>
                <w:rFonts w:hint="eastAsia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评委签名：</w:t>
            </w:r>
          </w:p>
        </w:tc>
      </w:tr>
    </w:tbl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附件二：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江西农业大学研究生第</w:t>
      </w:r>
      <w:r>
        <w:rPr>
          <w:rFonts w:hint="eastAsia" w:ascii="宋体" w:hAnsi="宋体"/>
          <w:b/>
          <w:sz w:val="32"/>
          <w:szCs w:val="32"/>
          <w:lang w:eastAsia="zh-CN"/>
        </w:rPr>
        <w:t>九</w:t>
      </w:r>
      <w:r>
        <w:rPr>
          <w:rFonts w:hint="eastAsia" w:ascii="宋体" w:hAnsi="宋体"/>
          <w:b/>
          <w:sz w:val="32"/>
          <w:szCs w:val="32"/>
        </w:rPr>
        <w:t>届“惟义”学术论坛论文评价标准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6"/>
    <w:rsid w:val="00B526A6"/>
    <w:rsid w:val="0DF619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2015-11-12T03:30:00Z</dcterms:created>
  <dc:creator>Administrator</dc:creator>
  <cp:lastModifiedBy>Administrator</cp:lastModifiedBy>
  <dcterms:modified xsi:type="dcterms:W3CDTF">2016-11-12T07:35:23Z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